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Διεύθυνση στο Διαδίκτυο (διεύθ</w:t>
            </w:r>
            <w:bookmarkStart w:id="0" w:name="_GoBack"/>
            <w:bookmarkEnd w:id="0"/>
            <w:r>
              <w:t xml:space="preserve">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E83E1B" w:rsidRPr="00E83E1B">
              <w:t xml:space="preserve">Ετήσια Ανανέωση Εγγύησης Κεντρικών Εξυπηρετητών, </w:t>
            </w:r>
            <w:proofErr w:type="spellStart"/>
            <w:r w:rsidR="00E83E1B" w:rsidRPr="00E83E1B">
              <w:t>Storages</w:t>
            </w:r>
            <w:proofErr w:type="spellEnd"/>
            <w:r w:rsidR="00E83E1B" w:rsidRPr="00E83E1B">
              <w:t xml:space="preserve"> και Λογισμικού, Καθώς και για την Παροχή Υπηρεσιών Συντήρησης - Υποστήριξης του Κεντρικού Δικτυακού Εξοπλισμού της Πανεπιστημιούπολης Άλσους Αιγάλεω του Πανεπιστημίου Δυτικής Αττικής</w:t>
            </w:r>
            <w:r w:rsidR="007E7706">
              <w:t xml:space="preserve"> </w:t>
            </w:r>
            <w:r>
              <w:t xml:space="preserve">CPV: </w:t>
            </w:r>
            <w:r w:rsidR="00E83E1B" w:rsidRPr="00E83E1B">
              <w:t>72253200-5 Υπηρεσίες υποστήριξης συστημάτων πληροφορικής</w:t>
            </w:r>
            <w:r>
              <w:t>]</w:t>
            </w:r>
          </w:p>
          <w:p w:rsidR="001A0C5B" w:rsidRDefault="001A0C5B" w:rsidP="00054276">
            <w:pPr>
              <w:spacing w:after="0"/>
              <w:ind w:firstLine="0"/>
            </w:pPr>
            <w:r>
              <w:t>- Κωδικός στο ΚΗΜΔΗΣ: […………]</w:t>
            </w:r>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altName w:val="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Times New Roman"/>
    <w:charset w:val="A1"/>
    <w:family w:val="auto"/>
    <w:pitch w:val="default"/>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E83E1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3C5CC9"/>
    <w:rsid w:val="004E1D31"/>
    <w:rsid w:val="005C443B"/>
    <w:rsid w:val="005E7B84"/>
    <w:rsid w:val="007007EF"/>
    <w:rsid w:val="007E7706"/>
    <w:rsid w:val="008F337C"/>
    <w:rsid w:val="00D11CF0"/>
    <w:rsid w:val="00E83E1B"/>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51C074B-F461-4146-8E2D-11230A9B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4931</Words>
  <Characters>26632</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6</cp:revision>
  <cp:lastPrinted>2016-10-26T09:40:00Z</cp:lastPrinted>
  <dcterms:created xsi:type="dcterms:W3CDTF">2020-02-04T12:05:00Z</dcterms:created>
  <dcterms:modified xsi:type="dcterms:W3CDTF">2020-02-10T12:44:00Z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